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B8" w:rsidRPr="00E9112D" w:rsidRDefault="004312B8" w:rsidP="004312B8">
      <w:pPr>
        <w:pStyle w:val="NormalWeb"/>
        <w:spacing w:before="120" w:beforeAutospacing="0" w:after="0" w:afterAutospacing="0"/>
        <w:ind w:left="634" w:right="180"/>
        <w:jc w:val="center"/>
        <w:rPr>
          <w:rFonts w:ascii="Times New Roman" w:hAnsi="Times New Roman"/>
          <w:b/>
          <w:bCs/>
          <w:color w:val="000000"/>
          <w:sz w:val="22"/>
          <w:szCs w:val="22"/>
        </w:rPr>
      </w:pPr>
      <w:proofErr w:type="spellStart"/>
      <w:r w:rsidRPr="00E9112D">
        <w:rPr>
          <w:rFonts w:ascii="Times New Roman" w:hAnsi="Times New Roman"/>
          <w:b/>
          <w:bCs/>
          <w:color w:val="000000"/>
          <w:sz w:val="22"/>
          <w:szCs w:val="22"/>
        </w:rPr>
        <w:t>Equitorial</w:t>
      </w:r>
      <w:proofErr w:type="spellEnd"/>
      <w:r w:rsidRPr="00E9112D">
        <w:rPr>
          <w:rFonts w:ascii="Times New Roman" w:hAnsi="Times New Roman"/>
          <w:b/>
          <w:bCs/>
          <w:color w:val="000000"/>
          <w:sz w:val="22"/>
          <w:szCs w:val="22"/>
        </w:rPr>
        <w:t xml:space="preserve"> Exploration Announces Results from the Re-analysis of 2007 Diamond Drill Core from its 100%-owned Little Nahanni Pegmatite Group (LNPG) Property</w:t>
      </w:r>
    </w:p>
    <w:p w:rsidR="004312B8" w:rsidRPr="00E9112D" w:rsidRDefault="004312B8" w:rsidP="004312B8">
      <w:pPr>
        <w:pStyle w:val="NormalWeb"/>
        <w:spacing w:before="120" w:beforeAutospacing="0" w:after="0" w:afterAutospacing="0"/>
        <w:ind w:left="634" w:right="180"/>
        <w:jc w:val="center"/>
        <w:rPr>
          <w:rFonts w:ascii="Times New Roman" w:hAnsi="Times New Roman"/>
          <w:b/>
          <w:bCs/>
          <w:color w:val="000000"/>
          <w:sz w:val="22"/>
          <w:szCs w:val="22"/>
        </w:rPr>
      </w:pPr>
    </w:p>
    <w:p w:rsidR="004312B8" w:rsidRPr="00E9112D" w:rsidRDefault="004312B8" w:rsidP="00F43411">
      <w:pPr>
        <w:spacing w:before="120" w:after="0"/>
        <w:ind w:left="720" w:right="187"/>
        <w:jc w:val="both"/>
        <w:rPr>
          <w:rFonts w:ascii="Times New Roman" w:hAnsi="Times New Roman"/>
          <w:sz w:val="22"/>
          <w:szCs w:val="22"/>
        </w:rPr>
      </w:pPr>
      <w:r w:rsidRPr="00E9112D">
        <w:rPr>
          <w:rFonts w:ascii="Times New Roman" w:hAnsi="Times New Roman"/>
          <w:b/>
          <w:bCs/>
          <w:color w:val="000000"/>
          <w:sz w:val="22"/>
          <w:szCs w:val="22"/>
        </w:rPr>
        <w:t xml:space="preserve">Vancouver, BC, Canada – </w:t>
      </w:r>
      <w:r w:rsidRPr="00E9112D">
        <w:rPr>
          <w:rFonts w:ascii="Times New Roman" w:hAnsi="Times New Roman"/>
          <w:b/>
          <w:bCs/>
          <w:color w:val="000000"/>
          <w:sz w:val="22"/>
          <w:szCs w:val="22"/>
          <w:highlight w:val="yellow"/>
        </w:rPr>
        <w:t>November X, 2017</w:t>
      </w:r>
      <w:r w:rsidRPr="00E9112D">
        <w:rPr>
          <w:rFonts w:ascii="Times New Roman" w:hAnsi="Times New Roman"/>
          <w:b/>
          <w:bCs/>
          <w:color w:val="000000"/>
          <w:sz w:val="22"/>
          <w:szCs w:val="22"/>
        </w:rPr>
        <w:t xml:space="preserve"> – </w:t>
      </w:r>
      <w:proofErr w:type="spellStart"/>
      <w:r w:rsidRPr="00E9112D">
        <w:rPr>
          <w:rFonts w:ascii="Times New Roman" w:hAnsi="Times New Roman"/>
          <w:b/>
          <w:bCs/>
          <w:color w:val="000000"/>
          <w:sz w:val="22"/>
          <w:szCs w:val="22"/>
        </w:rPr>
        <w:t>Equitorial</w:t>
      </w:r>
      <w:proofErr w:type="spellEnd"/>
      <w:r w:rsidRPr="00E9112D">
        <w:rPr>
          <w:rFonts w:ascii="Times New Roman" w:hAnsi="Times New Roman"/>
          <w:b/>
          <w:bCs/>
          <w:color w:val="000000"/>
          <w:sz w:val="22"/>
          <w:szCs w:val="22"/>
        </w:rPr>
        <w:t xml:space="preserve"> Exploration Corp. (TSX-V: EXX, Frankfurt: EE1, OTCQB: EQTXF) (“</w:t>
      </w:r>
      <w:proofErr w:type="spellStart"/>
      <w:r w:rsidRPr="00E9112D">
        <w:rPr>
          <w:rFonts w:ascii="Times New Roman" w:hAnsi="Times New Roman"/>
          <w:b/>
          <w:bCs/>
          <w:color w:val="000000"/>
          <w:sz w:val="22"/>
          <w:szCs w:val="22"/>
        </w:rPr>
        <w:t>Equitorial</w:t>
      </w:r>
      <w:proofErr w:type="spellEnd"/>
      <w:r w:rsidRPr="00E9112D">
        <w:rPr>
          <w:rFonts w:ascii="Times New Roman" w:hAnsi="Times New Roman"/>
          <w:b/>
          <w:bCs/>
          <w:color w:val="000000"/>
          <w:sz w:val="22"/>
          <w:szCs w:val="22"/>
        </w:rPr>
        <w:t>” or “Company”)</w:t>
      </w:r>
      <w:r w:rsidRPr="00E9112D">
        <w:rPr>
          <w:rFonts w:ascii="Times New Roman" w:hAnsi="Times New Roman"/>
          <w:color w:val="000000"/>
          <w:sz w:val="22"/>
          <w:szCs w:val="22"/>
        </w:rPr>
        <w:t xml:space="preserve"> is pleased to report  results from the </w:t>
      </w:r>
      <w:r w:rsidRPr="00E9112D">
        <w:rPr>
          <w:rFonts w:ascii="Times New Roman" w:hAnsi="Times New Roman"/>
          <w:sz w:val="22"/>
          <w:szCs w:val="22"/>
        </w:rPr>
        <w:t xml:space="preserve">resampling of 2007 diamond drill core from its 100%-owned Little Nahanni Pegmatite Group (LNPG) Lithium Property (NWT). </w:t>
      </w:r>
      <w:proofErr w:type="spellStart"/>
      <w:r w:rsidRPr="00E9112D">
        <w:rPr>
          <w:rFonts w:ascii="Times New Roman" w:hAnsi="Times New Roman"/>
          <w:sz w:val="22"/>
          <w:szCs w:val="22"/>
        </w:rPr>
        <w:t>Equitorial</w:t>
      </w:r>
      <w:proofErr w:type="spellEnd"/>
      <w:r w:rsidRPr="00E9112D">
        <w:rPr>
          <w:rFonts w:ascii="Times New Roman" w:hAnsi="Times New Roman"/>
          <w:sz w:val="22"/>
          <w:szCs w:val="22"/>
        </w:rPr>
        <w:t xml:space="preserve"> resampled the 2007 diamond drill core on the belief that the lithium potential was previously unevaluated because the previous operator’</w:t>
      </w:r>
      <w:r w:rsidR="00F43411">
        <w:rPr>
          <w:rFonts w:ascii="Times New Roman" w:hAnsi="Times New Roman"/>
          <w:sz w:val="22"/>
          <w:szCs w:val="22"/>
        </w:rPr>
        <w:t xml:space="preserve">s focus was tantalum and tin.  </w:t>
      </w:r>
    </w:p>
    <w:p w:rsidR="004312B8" w:rsidRPr="00E9112D" w:rsidRDefault="004312B8" w:rsidP="004312B8">
      <w:pPr>
        <w:spacing w:before="120" w:after="0"/>
        <w:ind w:left="720" w:right="187"/>
        <w:jc w:val="both"/>
        <w:rPr>
          <w:rFonts w:ascii="Times New Roman" w:hAnsi="Times New Roman"/>
          <w:sz w:val="22"/>
          <w:szCs w:val="22"/>
        </w:rPr>
      </w:pPr>
      <w:r w:rsidRPr="00E9112D">
        <w:rPr>
          <w:rFonts w:ascii="Times New Roman" w:hAnsi="Times New Roman"/>
          <w:sz w:val="22"/>
          <w:szCs w:val="22"/>
        </w:rPr>
        <w:t>In 2007, five holes totaling 1,120 m were drilled on the Li Property</w:t>
      </w:r>
      <w:r w:rsidR="00947766" w:rsidRPr="00E9112D">
        <w:rPr>
          <w:rFonts w:ascii="Times New Roman" w:hAnsi="Times New Roman"/>
          <w:sz w:val="22"/>
          <w:szCs w:val="22"/>
        </w:rPr>
        <w:t xml:space="preserve"> (now called the LNPG property)</w:t>
      </w:r>
      <w:r w:rsidRPr="00E9112D">
        <w:rPr>
          <w:rFonts w:ascii="Times New Roman" w:hAnsi="Times New Roman"/>
          <w:sz w:val="22"/>
          <w:szCs w:val="22"/>
        </w:rPr>
        <w:t xml:space="preserve"> by a previous owner exploring for tantalum and tin.  Table I below provides highlight results from 2007 and 2017 resampling of the drill holes.  </w:t>
      </w:r>
      <w:r w:rsidR="00947766" w:rsidRPr="00E9112D">
        <w:rPr>
          <w:rFonts w:ascii="Times New Roman" w:hAnsi="Times New Roman"/>
          <w:sz w:val="22"/>
          <w:szCs w:val="22"/>
        </w:rPr>
        <w:t>Drill highlights from the re</w:t>
      </w:r>
      <w:r w:rsidRPr="00E9112D">
        <w:rPr>
          <w:rFonts w:ascii="Times New Roman" w:hAnsi="Times New Roman"/>
          <w:sz w:val="22"/>
          <w:szCs w:val="22"/>
        </w:rPr>
        <w:t>sampling include:</w:t>
      </w:r>
    </w:p>
    <w:p w:rsidR="004312B8" w:rsidRPr="00E9112D" w:rsidRDefault="004312B8" w:rsidP="004312B8">
      <w:pPr>
        <w:pStyle w:val="ListParagraph"/>
        <w:numPr>
          <w:ilvl w:val="0"/>
          <w:numId w:val="2"/>
        </w:numPr>
        <w:spacing w:before="120" w:after="0"/>
        <w:ind w:right="187"/>
        <w:jc w:val="both"/>
        <w:rPr>
          <w:rFonts w:ascii="Times New Roman" w:hAnsi="Times New Roman"/>
          <w:b/>
          <w:sz w:val="22"/>
          <w:szCs w:val="22"/>
        </w:rPr>
      </w:pPr>
      <w:r w:rsidRPr="00E9112D">
        <w:rPr>
          <w:rFonts w:ascii="Times New Roman" w:hAnsi="Times New Roman"/>
          <w:b/>
          <w:sz w:val="22"/>
          <w:szCs w:val="22"/>
        </w:rPr>
        <w:t>1.47% Li2O, 39 g/t Ta2O5, and 0.0% SnO2 over 9.66 m;</w:t>
      </w:r>
    </w:p>
    <w:p w:rsidR="004312B8" w:rsidRPr="00E9112D" w:rsidRDefault="004312B8" w:rsidP="004312B8">
      <w:pPr>
        <w:pStyle w:val="ListParagraph"/>
        <w:numPr>
          <w:ilvl w:val="0"/>
          <w:numId w:val="2"/>
        </w:numPr>
        <w:spacing w:before="120" w:after="0"/>
        <w:ind w:right="187"/>
        <w:jc w:val="both"/>
        <w:rPr>
          <w:rFonts w:ascii="Times New Roman" w:hAnsi="Times New Roman"/>
          <w:sz w:val="22"/>
          <w:szCs w:val="22"/>
        </w:rPr>
      </w:pPr>
      <w:r w:rsidRPr="00E9112D">
        <w:rPr>
          <w:rFonts w:ascii="Times New Roman" w:hAnsi="Times New Roman"/>
          <w:b/>
          <w:sz w:val="22"/>
          <w:szCs w:val="22"/>
        </w:rPr>
        <w:t xml:space="preserve">1.03% Li2O, 31 g/t Ta2O5 and 0.02% SnO2 over 17.96 m; </w:t>
      </w:r>
    </w:p>
    <w:p w:rsidR="004312B8" w:rsidRPr="00E9112D" w:rsidRDefault="004312B8" w:rsidP="004312B8">
      <w:pPr>
        <w:pStyle w:val="ListParagraph"/>
        <w:numPr>
          <w:ilvl w:val="0"/>
          <w:numId w:val="2"/>
        </w:numPr>
        <w:spacing w:before="120" w:after="0"/>
        <w:ind w:right="187"/>
        <w:jc w:val="both"/>
        <w:rPr>
          <w:rFonts w:ascii="Times New Roman" w:hAnsi="Times New Roman"/>
          <w:sz w:val="22"/>
          <w:szCs w:val="22"/>
        </w:rPr>
      </w:pPr>
      <w:r w:rsidRPr="00E9112D">
        <w:rPr>
          <w:rFonts w:ascii="Times New Roman" w:hAnsi="Times New Roman"/>
          <w:b/>
          <w:sz w:val="22"/>
          <w:szCs w:val="22"/>
        </w:rPr>
        <w:t>1.04% Li2O, 319 g/t Ta2O5 and 0.07% SnO2 over 1.76 m; and,</w:t>
      </w:r>
    </w:p>
    <w:p w:rsidR="00947766" w:rsidRPr="00E9112D" w:rsidRDefault="004312B8" w:rsidP="00947766">
      <w:pPr>
        <w:pStyle w:val="ListParagraph"/>
        <w:numPr>
          <w:ilvl w:val="0"/>
          <w:numId w:val="2"/>
        </w:numPr>
        <w:spacing w:before="120" w:after="0"/>
        <w:ind w:right="187"/>
        <w:jc w:val="both"/>
        <w:rPr>
          <w:rFonts w:ascii="Times New Roman" w:hAnsi="Times New Roman"/>
          <w:sz w:val="22"/>
          <w:szCs w:val="22"/>
        </w:rPr>
      </w:pPr>
      <w:r w:rsidRPr="00E9112D">
        <w:rPr>
          <w:rFonts w:ascii="Times New Roman" w:hAnsi="Times New Roman"/>
          <w:b/>
          <w:sz w:val="22"/>
          <w:szCs w:val="22"/>
        </w:rPr>
        <w:t>0.84% Li2O, 38 g/t Ta2O5 and 0.02% SnO2 over 3.68 m.</w:t>
      </w:r>
    </w:p>
    <w:p w:rsidR="00947766" w:rsidRPr="00E9112D" w:rsidRDefault="00947766" w:rsidP="00947766">
      <w:pPr>
        <w:pStyle w:val="ListParagraph"/>
        <w:spacing w:before="120" w:after="0"/>
        <w:ind w:left="1080" w:right="187"/>
        <w:jc w:val="both"/>
        <w:rPr>
          <w:rFonts w:ascii="Times New Roman" w:hAnsi="Times New Roman"/>
          <w:sz w:val="22"/>
          <w:szCs w:val="22"/>
        </w:rPr>
      </w:pPr>
    </w:p>
    <w:p w:rsidR="004312B8" w:rsidRPr="00E9112D" w:rsidRDefault="004312B8" w:rsidP="004312B8">
      <w:pPr>
        <w:spacing w:before="120" w:after="0"/>
        <w:ind w:left="720" w:right="187"/>
        <w:jc w:val="center"/>
        <w:rPr>
          <w:rFonts w:ascii="Times New Roman" w:hAnsi="Times New Roman"/>
          <w:b/>
          <w:sz w:val="22"/>
          <w:szCs w:val="22"/>
        </w:rPr>
      </w:pPr>
      <w:r w:rsidRPr="00E9112D">
        <w:rPr>
          <w:rFonts w:ascii="Times New Roman" w:hAnsi="Times New Roman"/>
          <w:b/>
          <w:sz w:val="22"/>
          <w:szCs w:val="22"/>
        </w:rPr>
        <w:t>Table I – Diamond Drill Core Highlights</w:t>
      </w:r>
    </w:p>
    <w:p w:rsidR="004312B8" w:rsidRPr="00E9112D" w:rsidRDefault="004312B8" w:rsidP="004312B8">
      <w:pPr>
        <w:spacing w:before="120" w:after="0"/>
        <w:ind w:left="720" w:right="187"/>
        <w:jc w:val="both"/>
        <w:rPr>
          <w:rFonts w:ascii="Times New Roman" w:hAnsi="Times New Roman"/>
          <w:sz w:val="22"/>
          <w:szCs w:val="22"/>
        </w:rPr>
      </w:pPr>
    </w:p>
    <w:tbl>
      <w:tblPr>
        <w:tblW w:w="881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708"/>
        <w:gridCol w:w="1168"/>
        <w:gridCol w:w="939"/>
        <w:gridCol w:w="1258"/>
        <w:gridCol w:w="1197"/>
        <w:gridCol w:w="1156"/>
        <w:gridCol w:w="1340"/>
      </w:tblGrid>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DDH</w:t>
            </w:r>
          </w:p>
        </w:tc>
        <w:tc>
          <w:tcPr>
            <w:tcW w:w="708" w:type="dxa"/>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Year</w:t>
            </w:r>
          </w:p>
        </w:tc>
        <w:tc>
          <w:tcPr>
            <w:tcW w:w="1168"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From (m)</w:t>
            </w:r>
          </w:p>
        </w:tc>
        <w:tc>
          <w:tcPr>
            <w:tcW w:w="939"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To (m)</w:t>
            </w:r>
          </w:p>
        </w:tc>
        <w:tc>
          <w:tcPr>
            <w:tcW w:w="1258"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Width (m)</w:t>
            </w:r>
          </w:p>
        </w:tc>
        <w:tc>
          <w:tcPr>
            <w:tcW w:w="1197"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Li</w:t>
            </w:r>
            <w:r w:rsidRPr="00E9112D">
              <w:rPr>
                <w:rFonts w:ascii="Times New Roman" w:eastAsia="Times New Roman" w:hAnsi="Times New Roman"/>
                <w:b/>
                <w:bCs/>
                <w:color w:val="000000"/>
                <w:sz w:val="22"/>
                <w:szCs w:val="22"/>
                <w:vertAlign w:val="subscript"/>
                <w:lang w:val="en-CA" w:eastAsia="en-CA"/>
              </w:rPr>
              <w:t>2</w:t>
            </w:r>
            <w:r w:rsidRPr="00E9112D">
              <w:rPr>
                <w:rFonts w:ascii="Times New Roman" w:eastAsia="Times New Roman" w:hAnsi="Times New Roman"/>
                <w:b/>
                <w:bCs/>
                <w:color w:val="000000"/>
                <w:sz w:val="22"/>
                <w:szCs w:val="22"/>
                <w:lang w:val="en-CA" w:eastAsia="en-CA"/>
              </w:rPr>
              <w:t>O (%)</w:t>
            </w:r>
          </w:p>
        </w:tc>
        <w:tc>
          <w:tcPr>
            <w:tcW w:w="1156"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SnO</w:t>
            </w:r>
            <w:r w:rsidRPr="00E9112D">
              <w:rPr>
                <w:rFonts w:ascii="Times New Roman" w:eastAsia="Times New Roman" w:hAnsi="Times New Roman"/>
                <w:b/>
                <w:bCs/>
                <w:color w:val="000000"/>
                <w:sz w:val="22"/>
                <w:szCs w:val="22"/>
                <w:vertAlign w:val="subscript"/>
                <w:lang w:val="en-CA" w:eastAsia="en-CA"/>
              </w:rPr>
              <w:t>2</w:t>
            </w:r>
            <w:r w:rsidRPr="00E9112D">
              <w:rPr>
                <w:rFonts w:ascii="Times New Roman" w:eastAsia="Times New Roman" w:hAnsi="Times New Roman"/>
                <w:b/>
                <w:bCs/>
                <w:color w:val="000000"/>
                <w:sz w:val="22"/>
                <w:szCs w:val="22"/>
                <w:lang w:val="en-CA" w:eastAsia="en-CA"/>
              </w:rPr>
              <w:t xml:space="preserve"> (%)</w:t>
            </w:r>
          </w:p>
        </w:tc>
        <w:tc>
          <w:tcPr>
            <w:tcW w:w="1340" w:type="dxa"/>
            <w:shd w:val="clear" w:color="auto" w:fill="auto"/>
            <w:noWrap/>
            <w:vAlign w:val="bottom"/>
            <w:hideMark/>
          </w:tcPr>
          <w:p w:rsidR="004312B8" w:rsidRPr="00E9112D" w:rsidRDefault="004312B8" w:rsidP="00947766">
            <w:pPr>
              <w:spacing w:after="0"/>
              <w:rPr>
                <w:rFonts w:ascii="Times New Roman" w:eastAsia="Times New Roman" w:hAnsi="Times New Roman"/>
                <w:b/>
                <w:bCs/>
                <w:color w:val="000000"/>
                <w:sz w:val="22"/>
                <w:szCs w:val="22"/>
                <w:lang w:val="en-CA" w:eastAsia="en-CA"/>
              </w:rPr>
            </w:pPr>
            <w:r w:rsidRPr="00E9112D">
              <w:rPr>
                <w:rFonts w:ascii="Times New Roman" w:eastAsia="Times New Roman" w:hAnsi="Times New Roman"/>
                <w:b/>
                <w:bCs/>
                <w:color w:val="000000"/>
                <w:sz w:val="22"/>
                <w:szCs w:val="22"/>
                <w:lang w:val="en-CA" w:eastAsia="en-CA"/>
              </w:rPr>
              <w:t>Ta</w:t>
            </w:r>
            <w:r w:rsidRPr="00E9112D">
              <w:rPr>
                <w:rFonts w:ascii="Times New Roman" w:eastAsia="Times New Roman" w:hAnsi="Times New Roman"/>
                <w:b/>
                <w:bCs/>
                <w:color w:val="000000"/>
                <w:sz w:val="22"/>
                <w:szCs w:val="22"/>
                <w:vertAlign w:val="subscript"/>
                <w:lang w:val="en-CA" w:eastAsia="en-CA"/>
              </w:rPr>
              <w:t>2</w:t>
            </w:r>
            <w:r w:rsidRPr="00E9112D">
              <w:rPr>
                <w:rFonts w:ascii="Times New Roman" w:eastAsia="Times New Roman" w:hAnsi="Times New Roman"/>
                <w:b/>
                <w:bCs/>
                <w:color w:val="000000"/>
                <w:sz w:val="22"/>
                <w:szCs w:val="22"/>
                <w:lang w:val="en-CA" w:eastAsia="en-CA"/>
              </w:rPr>
              <w:t>O</w:t>
            </w:r>
            <w:r w:rsidRPr="00E9112D">
              <w:rPr>
                <w:rFonts w:ascii="Times New Roman" w:eastAsia="Times New Roman" w:hAnsi="Times New Roman"/>
                <w:b/>
                <w:bCs/>
                <w:color w:val="000000"/>
                <w:sz w:val="22"/>
                <w:szCs w:val="22"/>
                <w:vertAlign w:val="subscript"/>
                <w:lang w:val="en-CA" w:eastAsia="en-CA"/>
              </w:rPr>
              <w:t>5</w:t>
            </w:r>
            <w:r w:rsidRPr="00E9112D">
              <w:rPr>
                <w:rFonts w:ascii="Times New Roman" w:eastAsia="Times New Roman" w:hAnsi="Times New Roman"/>
                <w:b/>
                <w:bCs/>
                <w:color w:val="000000"/>
                <w:sz w:val="22"/>
                <w:szCs w:val="22"/>
                <w:lang w:val="en-CA" w:eastAsia="en-CA"/>
              </w:rPr>
              <w:t xml:space="preserve"> (g/t)</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MAC006</w:t>
            </w: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61.88</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66.86</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4.98</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0.26</w:t>
            </w:r>
          </w:p>
        </w:tc>
        <w:tc>
          <w:tcPr>
            <w:tcW w:w="1156" w:type="dxa"/>
            <w:shd w:val="clear" w:color="auto" w:fill="auto"/>
            <w:noWrap/>
            <w:vAlign w:val="bottom"/>
            <w:hideMark/>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76</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62.15</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66.87</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4.72</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0.52</w:t>
            </w:r>
          </w:p>
        </w:tc>
        <w:tc>
          <w:tcPr>
            <w:tcW w:w="1156"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74</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85.60</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87.00</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1.40</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0.65</w:t>
            </w:r>
          </w:p>
        </w:tc>
        <w:tc>
          <w:tcPr>
            <w:tcW w:w="1156"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0.05</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316</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i/>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85.58</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87.34</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1.76</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1.04</w:t>
            </w:r>
          </w:p>
        </w:tc>
        <w:tc>
          <w:tcPr>
            <w:tcW w:w="1156"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0.07</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319</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172.37</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190.64</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18.27</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0.92</w:t>
            </w:r>
          </w:p>
        </w:tc>
        <w:tc>
          <w:tcPr>
            <w:tcW w:w="1156"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32</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172.29</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190.25</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17.96</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1.03</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0.02</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31</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MAC007</w:t>
            </w: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30.22</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33.62</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3.40</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0.20</w:t>
            </w:r>
          </w:p>
        </w:tc>
        <w:tc>
          <w:tcPr>
            <w:tcW w:w="1156"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57</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105.84</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116.78</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10.94</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1.20</w:t>
            </w:r>
          </w:p>
        </w:tc>
        <w:tc>
          <w:tcPr>
            <w:tcW w:w="1156" w:type="dxa"/>
            <w:shd w:val="clear" w:color="auto" w:fill="auto"/>
            <w:noWrap/>
            <w:vAlign w:val="bottom"/>
            <w:hideMark/>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35</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2017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107.13</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116.79</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9.66</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1.47</w:t>
            </w:r>
          </w:p>
        </w:tc>
        <w:tc>
          <w:tcPr>
            <w:tcW w:w="1156" w:type="dxa"/>
            <w:shd w:val="clear" w:color="auto" w:fill="auto"/>
            <w:noWrap/>
            <w:vAlign w:val="bottom"/>
            <w:hideMark/>
          </w:tcPr>
          <w:p w:rsidR="004312B8" w:rsidRPr="00E9112D" w:rsidRDefault="004312B8" w:rsidP="004312B8">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0.03</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39</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125.59</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129.33</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3.74</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0.26</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0.01</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w:t>
            </w:r>
          </w:p>
        </w:tc>
      </w:tr>
      <w:tr w:rsidR="004312B8" w:rsidRPr="00E9112D" w:rsidTr="00236FE1">
        <w:trPr>
          <w:trHeight w:val="288"/>
          <w:jc w:val="center"/>
        </w:trPr>
        <w:tc>
          <w:tcPr>
            <w:tcW w:w="1048" w:type="dxa"/>
            <w:shd w:val="clear" w:color="auto" w:fill="auto"/>
            <w:noWrap/>
            <w:vAlign w:val="bottom"/>
            <w:hideMark/>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143.73</w:t>
            </w:r>
          </w:p>
        </w:tc>
        <w:tc>
          <w:tcPr>
            <w:tcW w:w="939"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149.20</w:t>
            </w:r>
          </w:p>
        </w:tc>
        <w:tc>
          <w:tcPr>
            <w:tcW w:w="1258"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5.47</w:t>
            </w:r>
          </w:p>
        </w:tc>
        <w:tc>
          <w:tcPr>
            <w:tcW w:w="1197"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0.33</w:t>
            </w:r>
          </w:p>
        </w:tc>
        <w:tc>
          <w:tcPr>
            <w:tcW w:w="1156" w:type="dxa"/>
            <w:shd w:val="clear" w:color="auto" w:fill="auto"/>
            <w:noWrap/>
            <w:vAlign w:val="bottom"/>
            <w:hideMark/>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0.01</w:t>
            </w:r>
          </w:p>
        </w:tc>
        <w:tc>
          <w:tcPr>
            <w:tcW w:w="1340" w:type="dxa"/>
            <w:shd w:val="clear" w:color="auto" w:fill="auto"/>
            <w:noWrap/>
            <w:vAlign w:val="bottom"/>
            <w:hideMark/>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26</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146.94</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150.62</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3.68</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0.84</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0.02</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38</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MAC008</w:t>
            </w: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37.57</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38.73</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1.15</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0.58</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0.05</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172</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41.40</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43.46</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2.06</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0.16</w:t>
            </w:r>
          </w:p>
        </w:tc>
        <w:tc>
          <w:tcPr>
            <w:tcW w:w="1156"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0.001</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146.89</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147.32</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0.43</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0.24</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0.08</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156</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154.10</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158.43</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4.33</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0.38</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0.01</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50</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2007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156.63</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158.45</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1.82</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0.47</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0.02</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color w:val="000000"/>
                <w:sz w:val="22"/>
                <w:szCs w:val="22"/>
                <w:lang w:val="en-CA" w:eastAsia="en-CA"/>
              </w:rPr>
            </w:pPr>
            <w:r w:rsidRPr="00E9112D">
              <w:rPr>
                <w:rFonts w:ascii="Times New Roman" w:eastAsia="Times New Roman" w:hAnsi="Times New Roman"/>
                <w:color w:val="000000"/>
                <w:sz w:val="22"/>
                <w:szCs w:val="22"/>
                <w:lang w:val="en-CA" w:eastAsia="en-CA"/>
              </w:rPr>
              <w:t>81</w:t>
            </w:r>
          </w:p>
        </w:tc>
      </w:tr>
      <w:tr w:rsidR="004312B8" w:rsidRPr="00E9112D" w:rsidTr="00236FE1">
        <w:trPr>
          <w:trHeight w:val="288"/>
          <w:jc w:val="center"/>
        </w:trPr>
        <w:tc>
          <w:tcPr>
            <w:tcW w:w="1048" w:type="dxa"/>
            <w:shd w:val="clear" w:color="auto" w:fill="auto"/>
            <w:noWrap/>
            <w:vAlign w:val="bottom"/>
          </w:tcPr>
          <w:p w:rsidR="004312B8" w:rsidRPr="00E9112D" w:rsidRDefault="004312B8" w:rsidP="00947766">
            <w:pPr>
              <w:spacing w:after="0"/>
              <w:rPr>
                <w:rFonts w:ascii="Times New Roman" w:eastAsia="Times New Roman" w:hAnsi="Times New Roman"/>
                <w:color w:val="000000"/>
                <w:sz w:val="22"/>
                <w:szCs w:val="22"/>
                <w:lang w:val="en-CA" w:eastAsia="en-CA"/>
              </w:rPr>
            </w:pPr>
          </w:p>
        </w:tc>
        <w:tc>
          <w:tcPr>
            <w:tcW w:w="708" w:type="dxa"/>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2017</w:t>
            </w:r>
          </w:p>
        </w:tc>
        <w:tc>
          <w:tcPr>
            <w:tcW w:w="116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156.55</w:t>
            </w:r>
          </w:p>
        </w:tc>
        <w:tc>
          <w:tcPr>
            <w:tcW w:w="939"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158.43</w:t>
            </w:r>
          </w:p>
        </w:tc>
        <w:tc>
          <w:tcPr>
            <w:tcW w:w="1258"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1.88</w:t>
            </w:r>
          </w:p>
        </w:tc>
        <w:tc>
          <w:tcPr>
            <w:tcW w:w="1197"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0.67</w:t>
            </w:r>
          </w:p>
        </w:tc>
        <w:tc>
          <w:tcPr>
            <w:tcW w:w="1156" w:type="dxa"/>
            <w:shd w:val="clear" w:color="auto" w:fill="auto"/>
            <w:noWrap/>
            <w:vAlign w:val="bottom"/>
          </w:tcPr>
          <w:p w:rsidR="004312B8" w:rsidRPr="00E9112D" w:rsidRDefault="004312B8" w:rsidP="004312B8">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0.03</w:t>
            </w:r>
          </w:p>
        </w:tc>
        <w:tc>
          <w:tcPr>
            <w:tcW w:w="1340" w:type="dxa"/>
            <w:shd w:val="clear" w:color="auto" w:fill="auto"/>
            <w:noWrap/>
            <w:vAlign w:val="bottom"/>
          </w:tcPr>
          <w:p w:rsidR="004312B8" w:rsidRPr="00E9112D" w:rsidRDefault="004312B8" w:rsidP="00947766">
            <w:pPr>
              <w:spacing w:after="0"/>
              <w:jc w:val="right"/>
              <w:rPr>
                <w:rFonts w:ascii="Times New Roman" w:eastAsia="Times New Roman" w:hAnsi="Times New Roman"/>
                <w:b/>
                <w:i/>
                <w:color w:val="000000"/>
                <w:sz w:val="22"/>
                <w:szCs w:val="22"/>
                <w:lang w:val="en-CA" w:eastAsia="en-CA"/>
              </w:rPr>
            </w:pPr>
            <w:r w:rsidRPr="00E9112D">
              <w:rPr>
                <w:rFonts w:ascii="Times New Roman" w:eastAsia="Times New Roman" w:hAnsi="Times New Roman"/>
                <w:b/>
                <w:i/>
                <w:color w:val="000000"/>
                <w:sz w:val="22"/>
                <w:szCs w:val="22"/>
                <w:lang w:val="en-CA" w:eastAsia="en-CA"/>
              </w:rPr>
              <w:t>111</w:t>
            </w:r>
          </w:p>
        </w:tc>
      </w:tr>
    </w:tbl>
    <w:p w:rsidR="004312B8" w:rsidRPr="00E9112D" w:rsidRDefault="004312B8" w:rsidP="00947766">
      <w:pPr>
        <w:spacing w:before="120" w:after="0"/>
        <w:ind w:left="720" w:right="187"/>
        <w:rPr>
          <w:rFonts w:ascii="Times New Roman" w:hAnsi="Times New Roman"/>
          <w:sz w:val="22"/>
          <w:szCs w:val="22"/>
        </w:rPr>
      </w:pPr>
      <w:r w:rsidRPr="00E9112D">
        <w:rPr>
          <w:rFonts w:ascii="Times New Roman" w:hAnsi="Times New Roman"/>
          <w:sz w:val="22"/>
          <w:szCs w:val="22"/>
        </w:rPr>
        <w:t>*</w:t>
      </w:r>
      <w:r w:rsidRPr="00E9112D">
        <w:rPr>
          <w:rFonts w:ascii="Times New Roman" w:hAnsi="Times New Roman"/>
          <w:b/>
          <w:i/>
          <w:sz w:val="22"/>
          <w:szCs w:val="22"/>
        </w:rPr>
        <w:t>italicized</w:t>
      </w:r>
      <w:r w:rsidRPr="00E9112D">
        <w:rPr>
          <w:rFonts w:ascii="Times New Roman" w:hAnsi="Times New Roman"/>
          <w:sz w:val="22"/>
          <w:szCs w:val="22"/>
        </w:rPr>
        <w:t xml:space="preserve"> results highlight intervals where significant increases in grade are observed.</w:t>
      </w:r>
    </w:p>
    <w:p w:rsidR="00947766" w:rsidRPr="00E9112D" w:rsidRDefault="00947766" w:rsidP="00947766">
      <w:pPr>
        <w:spacing w:before="120" w:after="0"/>
        <w:ind w:left="720" w:right="187"/>
        <w:jc w:val="center"/>
        <w:rPr>
          <w:rFonts w:ascii="Times New Roman" w:hAnsi="Times New Roman"/>
          <w:sz w:val="22"/>
          <w:szCs w:val="22"/>
        </w:rPr>
      </w:pPr>
    </w:p>
    <w:p w:rsidR="00947766" w:rsidRPr="00E9112D" w:rsidRDefault="004312B8" w:rsidP="004312B8">
      <w:pPr>
        <w:spacing w:before="120" w:after="0"/>
        <w:ind w:left="720" w:right="187"/>
        <w:jc w:val="both"/>
        <w:rPr>
          <w:rFonts w:ascii="Times New Roman" w:hAnsi="Times New Roman"/>
          <w:sz w:val="22"/>
          <w:szCs w:val="22"/>
        </w:rPr>
      </w:pPr>
      <w:r w:rsidRPr="00E9112D">
        <w:rPr>
          <w:rFonts w:ascii="Times New Roman" w:hAnsi="Times New Roman"/>
          <w:sz w:val="22"/>
          <w:szCs w:val="22"/>
        </w:rPr>
        <w:lastRenderedPageBreak/>
        <w:t xml:space="preserve">Holes MAC-07-003, MAC-07-006 and MAC-07-007 targeted the Great Wall of China dyke swarm in two different cirques about 2500 m apart, while MAC-07-008 tested the </w:t>
      </w:r>
      <w:r w:rsidR="00844E9F">
        <w:rPr>
          <w:rFonts w:ascii="Times New Roman" w:hAnsi="Times New Roman"/>
          <w:sz w:val="22"/>
          <w:szCs w:val="22"/>
        </w:rPr>
        <w:t>Climbing Wall</w:t>
      </w:r>
      <w:r w:rsidRPr="00E9112D">
        <w:rPr>
          <w:rFonts w:ascii="Times New Roman" w:hAnsi="Times New Roman"/>
          <w:sz w:val="22"/>
          <w:szCs w:val="22"/>
        </w:rPr>
        <w:t xml:space="preserve"> dyke swarm.  In 2016, </w:t>
      </w:r>
      <w:r w:rsidR="00947766" w:rsidRPr="00E9112D">
        <w:rPr>
          <w:rFonts w:ascii="Times New Roman" w:hAnsi="Times New Roman"/>
          <w:sz w:val="22"/>
          <w:szCs w:val="22"/>
        </w:rPr>
        <w:t xml:space="preserve">an extensive channel sampling program was completed </w:t>
      </w:r>
      <w:r w:rsidR="00844E9F">
        <w:rPr>
          <w:rFonts w:ascii="Times New Roman" w:hAnsi="Times New Roman"/>
          <w:sz w:val="22"/>
          <w:szCs w:val="22"/>
        </w:rPr>
        <w:t>in the central part of</w:t>
      </w:r>
      <w:r w:rsidR="00947766" w:rsidRPr="00E9112D">
        <w:rPr>
          <w:rFonts w:ascii="Times New Roman" w:hAnsi="Times New Roman"/>
          <w:sz w:val="22"/>
          <w:szCs w:val="22"/>
        </w:rPr>
        <w:t xml:space="preserve"> the property.  C</w:t>
      </w:r>
      <w:r w:rsidRPr="00E9112D">
        <w:rPr>
          <w:rFonts w:ascii="Times New Roman" w:hAnsi="Times New Roman"/>
          <w:sz w:val="22"/>
          <w:szCs w:val="22"/>
        </w:rPr>
        <w:t>hannel sampl</w:t>
      </w:r>
      <w:r w:rsidR="00947766" w:rsidRPr="00E9112D">
        <w:rPr>
          <w:rFonts w:ascii="Times New Roman" w:hAnsi="Times New Roman"/>
          <w:sz w:val="22"/>
          <w:szCs w:val="22"/>
        </w:rPr>
        <w:t>ing across one exposure of the Great Wall of China</w:t>
      </w:r>
      <w:r w:rsidRPr="00E9112D">
        <w:rPr>
          <w:rFonts w:ascii="Times New Roman" w:hAnsi="Times New Roman"/>
          <w:sz w:val="22"/>
          <w:szCs w:val="22"/>
        </w:rPr>
        <w:t xml:space="preserve"> returned a weighted average grade of </w:t>
      </w:r>
      <w:r w:rsidRPr="00E9112D">
        <w:rPr>
          <w:rFonts w:ascii="Times New Roman" w:hAnsi="Times New Roman"/>
          <w:b/>
          <w:sz w:val="22"/>
          <w:szCs w:val="22"/>
        </w:rPr>
        <w:t>0.38% Li</w:t>
      </w:r>
      <w:r w:rsidRPr="00E9112D">
        <w:rPr>
          <w:rFonts w:ascii="Times New Roman" w:hAnsi="Times New Roman"/>
          <w:b/>
          <w:sz w:val="22"/>
          <w:szCs w:val="22"/>
          <w:vertAlign w:val="subscript"/>
        </w:rPr>
        <w:t>2</w:t>
      </w:r>
      <w:r w:rsidRPr="00E9112D">
        <w:rPr>
          <w:rFonts w:ascii="Times New Roman" w:hAnsi="Times New Roman"/>
          <w:b/>
          <w:sz w:val="22"/>
          <w:szCs w:val="22"/>
        </w:rPr>
        <w:t>O, 20.7 g/t Ta</w:t>
      </w:r>
      <w:r w:rsidRPr="00E9112D">
        <w:rPr>
          <w:rFonts w:ascii="Times New Roman" w:hAnsi="Times New Roman"/>
          <w:b/>
          <w:sz w:val="22"/>
          <w:szCs w:val="22"/>
          <w:vertAlign w:val="subscript"/>
        </w:rPr>
        <w:t>2</w:t>
      </w:r>
      <w:r w:rsidRPr="00E9112D">
        <w:rPr>
          <w:rFonts w:ascii="Times New Roman" w:hAnsi="Times New Roman"/>
          <w:b/>
          <w:sz w:val="22"/>
          <w:szCs w:val="22"/>
        </w:rPr>
        <w:t>O</w:t>
      </w:r>
      <w:r w:rsidRPr="00E9112D">
        <w:rPr>
          <w:rFonts w:ascii="Times New Roman" w:hAnsi="Times New Roman"/>
          <w:b/>
          <w:sz w:val="22"/>
          <w:szCs w:val="22"/>
          <w:vertAlign w:val="subscript"/>
        </w:rPr>
        <w:t>5</w:t>
      </w:r>
      <w:r w:rsidRPr="00E9112D">
        <w:rPr>
          <w:rFonts w:ascii="Times New Roman" w:hAnsi="Times New Roman"/>
          <w:b/>
          <w:sz w:val="22"/>
          <w:szCs w:val="22"/>
        </w:rPr>
        <w:t xml:space="preserve"> and 0.01% SnO</w:t>
      </w:r>
      <w:r w:rsidRPr="00E9112D">
        <w:rPr>
          <w:rFonts w:ascii="Times New Roman" w:hAnsi="Times New Roman"/>
          <w:b/>
          <w:sz w:val="22"/>
          <w:szCs w:val="22"/>
          <w:vertAlign w:val="subscript"/>
        </w:rPr>
        <w:t>2</w:t>
      </w:r>
      <w:r w:rsidRPr="00E9112D">
        <w:rPr>
          <w:rFonts w:ascii="Times New Roman" w:hAnsi="Times New Roman"/>
          <w:b/>
          <w:sz w:val="22"/>
          <w:szCs w:val="22"/>
        </w:rPr>
        <w:t xml:space="preserve"> over 52.60 m</w:t>
      </w:r>
      <w:r w:rsidR="00947766" w:rsidRPr="00E9112D">
        <w:rPr>
          <w:rFonts w:ascii="Times New Roman" w:hAnsi="Times New Roman"/>
          <w:b/>
          <w:sz w:val="22"/>
          <w:szCs w:val="22"/>
        </w:rPr>
        <w:t xml:space="preserve">, </w:t>
      </w:r>
      <w:r w:rsidR="00947766" w:rsidRPr="00E9112D">
        <w:rPr>
          <w:rFonts w:ascii="Times New Roman" w:hAnsi="Times New Roman"/>
          <w:sz w:val="22"/>
          <w:szCs w:val="22"/>
        </w:rPr>
        <w:t>while the best individual dyke yielded</w:t>
      </w:r>
      <w:r w:rsidR="00947766" w:rsidRPr="00E9112D">
        <w:rPr>
          <w:rFonts w:ascii="Times New Roman" w:hAnsi="Times New Roman"/>
          <w:b/>
          <w:sz w:val="22"/>
          <w:szCs w:val="22"/>
        </w:rPr>
        <w:t xml:space="preserve"> 1.67% Li</w:t>
      </w:r>
      <w:r w:rsidR="00947766" w:rsidRPr="00E9112D">
        <w:rPr>
          <w:rFonts w:ascii="Times New Roman" w:hAnsi="Times New Roman"/>
          <w:b/>
          <w:sz w:val="22"/>
          <w:szCs w:val="22"/>
          <w:vertAlign w:val="subscript"/>
        </w:rPr>
        <w:t>2</w:t>
      </w:r>
      <w:r w:rsidR="00947766" w:rsidRPr="00E9112D">
        <w:rPr>
          <w:rFonts w:ascii="Times New Roman" w:hAnsi="Times New Roman"/>
          <w:b/>
          <w:sz w:val="22"/>
          <w:szCs w:val="22"/>
        </w:rPr>
        <w:t>O, 45 g/t Ta</w:t>
      </w:r>
      <w:r w:rsidR="00947766" w:rsidRPr="00E9112D">
        <w:rPr>
          <w:rFonts w:ascii="Times New Roman" w:hAnsi="Times New Roman"/>
          <w:b/>
          <w:sz w:val="22"/>
          <w:szCs w:val="22"/>
          <w:vertAlign w:val="subscript"/>
        </w:rPr>
        <w:t>2</w:t>
      </w:r>
      <w:r w:rsidR="00947766" w:rsidRPr="00E9112D">
        <w:rPr>
          <w:rFonts w:ascii="Times New Roman" w:hAnsi="Times New Roman"/>
          <w:b/>
          <w:sz w:val="22"/>
          <w:szCs w:val="22"/>
        </w:rPr>
        <w:t>O</w:t>
      </w:r>
      <w:r w:rsidR="00947766" w:rsidRPr="00E9112D">
        <w:rPr>
          <w:rFonts w:ascii="Times New Roman" w:hAnsi="Times New Roman"/>
          <w:b/>
          <w:sz w:val="22"/>
          <w:szCs w:val="22"/>
          <w:vertAlign w:val="subscript"/>
        </w:rPr>
        <w:t>5</w:t>
      </w:r>
      <w:r w:rsidR="00947766" w:rsidRPr="00E9112D">
        <w:rPr>
          <w:rFonts w:ascii="Times New Roman" w:hAnsi="Times New Roman"/>
          <w:b/>
          <w:sz w:val="22"/>
          <w:szCs w:val="22"/>
        </w:rPr>
        <w:t xml:space="preserve"> and 0.03% SnO</w:t>
      </w:r>
      <w:r w:rsidR="00947766" w:rsidRPr="00E9112D">
        <w:rPr>
          <w:rFonts w:ascii="Times New Roman" w:hAnsi="Times New Roman"/>
          <w:b/>
          <w:sz w:val="22"/>
          <w:szCs w:val="22"/>
          <w:vertAlign w:val="subscript"/>
        </w:rPr>
        <w:t>2</w:t>
      </w:r>
      <w:r w:rsidR="00947766" w:rsidRPr="00E9112D">
        <w:rPr>
          <w:rFonts w:ascii="Times New Roman" w:hAnsi="Times New Roman"/>
          <w:b/>
          <w:sz w:val="22"/>
          <w:szCs w:val="22"/>
        </w:rPr>
        <w:t xml:space="preserve"> over 3.75 m</w:t>
      </w:r>
      <w:r w:rsidRPr="00E9112D">
        <w:rPr>
          <w:rFonts w:ascii="Times New Roman" w:hAnsi="Times New Roman"/>
          <w:sz w:val="22"/>
          <w:szCs w:val="22"/>
        </w:rPr>
        <w:t xml:space="preserve"> (see News Release dated September 6, 2016).  </w:t>
      </w:r>
    </w:p>
    <w:p w:rsidR="004312B8" w:rsidRPr="00E9112D" w:rsidRDefault="004312B8" w:rsidP="00947766">
      <w:pPr>
        <w:spacing w:before="120" w:after="0"/>
        <w:ind w:left="720" w:right="187"/>
        <w:jc w:val="both"/>
        <w:rPr>
          <w:rFonts w:ascii="Times New Roman" w:hAnsi="Times New Roman"/>
          <w:sz w:val="22"/>
          <w:szCs w:val="22"/>
        </w:rPr>
      </w:pPr>
      <w:r w:rsidRPr="00E9112D">
        <w:rPr>
          <w:rFonts w:ascii="Times New Roman" w:hAnsi="Times New Roman"/>
          <w:sz w:val="22"/>
          <w:szCs w:val="22"/>
        </w:rPr>
        <w:t>The 2017 resampling program successfully increased the Li</w:t>
      </w:r>
      <w:r w:rsidRPr="00E9112D">
        <w:rPr>
          <w:rFonts w:ascii="Times New Roman" w:hAnsi="Times New Roman"/>
          <w:sz w:val="22"/>
          <w:szCs w:val="22"/>
          <w:vertAlign w:val="subscript"/>
        </w:rPr>
        <w:t>2</w:t>
      </w:r>
      <w:r w:rsidRPr="00E9112D">
        <w:rPr>
          <w:rFonts w:ascii="Times New Roman" w:hAnsi="Times New Roman"/>
          <w:sz w:val="22"/>
          <w:szCs w:val="22"/>
        </w:rPr>
        <w:t>O grade in b</w:t>
      </w:r>
      <w:r w:rsidR="00947766" w:rsidRPr="00E9112D">
        <w:rPr>
          <w:rFonts w:ascii="Times New Roman" w:hAnsi="Times New Roman"/>
          <w:sz w:val="22"/>
          <w:szCs w:val="22"/>
        </w:rPr>
        <w:t xml:space="preserve">oth MAC-07-006 and MAC-07-007. </w:t>
      </w:r>
      <w:r w:rsidRPr="00E9112D">
        <w:rPr>
          <w:rFonts w:ascii="Times New Roman" w:hAnsi="Times New Roman"/>
          <w:sz w:val="22"/>
          <w:szCs w:val="22"/>
        </w:rPr>
        <w:t>The 2007 sampling returned 0.92% Li</w:t>
      </w:r>
      <w:r w:rsidRPr="00E9112D">
        <w:rPr>
          <w:rFonts w:ascii="Times New Roman" w:hAnsi="Times New Roman"/>
          <w:sz w:val="22"/>
          <w:szCs w:val="22"/>
          <w:vertAlign w:val="subscript"/>
        </w:rPr>
        <w:t>2</w:t>
      </w:r>
      <w:r w:rsidRPr="00E9112D">
        <w:rPr>
          <w:rFonts w:ascii="Times New Roman" w:hAnsi="Times New Roman"/>
          <w:sz w:val="22"/>
          <w:szCs w:val="22"/>
        </w:rPr>
        <w:t xml:space="preserve">O over 18.27 m, while the 2017 resampling returned </w:t>
      </w:r>
      <w:bookmarkStart w:id="0" w:name="_GoBack"/>
      <w:r w:rsidRPr="00236FE1">
        <w:rPr>
          <w:rFonts w:ascii="Times New Roman" w:hAnsi="Times New Roman"/>
          <w:sz w:val="22"/>
          <w:szCs w:val="22"/>
        </w:rPr>
        <w:t>1.027% Li</w:t>
      </w:r>
      <w:r w:rsidRPr="00236FE1">
        <w:rPr>
          <w:rFonts w:ascii="Times New Roman" w:hAnsi="Times New Roman"/>
          <w:sz w:val="22"/>
          <w:szCs w:val="22"/>
          <w:vertAlign w:val="subscript"/>
        </w:rPr>
        <w:t>2</w:t>
      </w:r>
      <w:r w:rsidRPr="00236FE1">
        <w:rPr>
          <w:rFonts w:ascii="Times New Roman" w:hAnsi="Times New Roman"/>
          <w:sz w:val="22"/>
          <w:szCs w:val="22"/>
        </w:rPr>
        <w:t>O over 17.96 m (MAC-07-006) and 2007 sampling returned 1.20% Li</w:t>
      </w:r>
      <w:r w:rsidRPr="00236FE1">
        <w:rPr>
          <w:rFonts w:ascii="Times New Roman" w:hAnsi="Times New Roman"/>
          <w:sz w:val="22"/>
          <w:szCs w:val="22"/>
          <w:vertAlign w:val="subscript"/>
        </w:rPr>
        <w:t>2</w:t>
      </w:r>
      <w:r w:rsidRPr="00236FE1">
        <w:rPr>
          <w:rFonts w:ascii="Times New Roman" w:hAnsi="Times New Roman"/>
          <w:sz w:val="22"/>
          <w:szCs w:val="22"/>
        </w:rPr>
        <w:t>O over 10.94 m, while the 2017 resampling returned 1.47% Li</w:t>
      </w:r>
      <w:r w:rsidRPr="00236FE1">
        <w:rPr>
          <w:rFonts w:ascii="Times New Roman" w:hAnsi="Times New Roman"/>
          <w:sz w:val="22"/>
          <w:szCs w:val="22"/>
          <w:vertAlign w:val="subscript"/>
        </w:rPr>
        <w:t>2</w:t>
      </w:r>
      <w:r w:rsidRPr="00236FE1">
        <w:rPr>
          <w:rFonts w:ascii="Times New Roman" w:hAnsi="Times New Roman"/>
          <w:sz w:val="22"/>
          <w:szCs w:val="22"/>
        </w:rPr>
        <w:t>O over 9.66 m (MAC-07-007).</w:t>
      </w:r>
      <w:bookmarkEnd w:id="0"/>
    </w:p>
    <w:p w:rsidR="00947766" w:rsidRPr="00E9112D" w:rsidRDefault="00947766" w:rsidP="00947766">
      <w:pPr>
        <w:spacing w:before="120" w:after="0"/>
        <w:ind w:left="720" w:right="187"/>
        <w:jc w:val="both"/>
        <w:rPr>
          <w:rFonts w:ascii="Times New Roman" w:hAnsi="Times New Roman"/>
          <w:sz w:val="22"/>
          <w:szCs w:val="22"/>
        </w:rPr>
      </w:pPr>
      <w:r w:rsidRPr="00E9112D">
        <w:rPr>
          <w:rFonts w:ascii="Times New Roman" w:hAnsi="Times New Roman"/>
          <w:sz w:val="22"/>
          <w:szCs w:val="22"/>
        </w:rPr>
        <w:t xml:space="preserve">Bulk intercepts from the drilling include </w:t>
      </w:r>
      <w:r w:rsidRPr="00E9112D">
        <w:rPr>
          <w:rFonts w:ascii="Times New Roman" w:hAnsi="Times New Roman"/>
          <w:b/>
          <w:sz w:val="22"/>
          <w:szCs w:val="22"/>
        </w:rPr>
        <w:t>0.16% Li</w:t>
      </w:r>
      <w:r w:rsidRPr="00E9112D">
        <w:rPr>
          <w:rFonts w:ascii="Times New Roman" w:hAnsi="Times New Roman"/>
          <w:b/>
          <w:sz w:val="22"/>
          <w:szCs w:val="22"/>
          <w:vertAlign w:val="subscript"/>
        </w:rPr>
        <w:t>2</w:t>
      </w:r>
      <w:r w:rsidRPr="00E9112D">
        <w:rPr>
          <w:rFonts w:ascii="Times New Roman" w:hAnsi="Times New Roman"/>
          <w:b/>
          <w:sz w:val="22"/>
          <w:szCs w:val="22"/>
        </w:rPr>
        <w:t>O, 13 g/t Ta</w:t>
      </w:r>
      <w:r w:rsidRPr="00E9112D">
        <w:rPr>
          <w:rFonts w:ascii="Times New Roman" w:hAnsi="Times New Roman"/>
          <w:b/>
          <w:sz w:val="22"/>
          <w:szCs w:val="22"/>
          <w:vertAlign w:val="subscript"/>
        </w:rPr>
        <w:t>2</w:t>
      </w:r>
      <w:r w:rsidRPr="00E9112D">
        <w:rPr>
          <w:rFonts w:ascii="Times New Roman" w:hAnsi="Times New Roman"/>
          <w:b/>
          <w:sz w:val="22"/>
          <w:szCs w:val="22"/>
        </w:rPr>
        <w:t>O</w:t>
      </w:r>
      <w:r w:rsidRPr="00E9112D">
        <w:rPr>
          <w:rFonts w:ascii="Times New Roman" w:hAnsi="Times New Roman"/>
          <w:b/>
          <w:sz w:val="22"/>
          <w:szCs w:val="22"/>
          <w:vertAlign w:val="subscript"/>
        </w:rPr>
        <w:t>5</w:t>
      </w:r>
      <w:r w:rsidRPr="00E9112D">
        <w:rPr>
          <w:rFonts w:ascii="Times New Roman" w:hAnsi="Times New Roman"/>
          <w:b/>
          <w:sz w:val="22"/>
          <w:szCs w:val="22"/>
        </w:rPr>
        <w:t xml:space="preserve"> and 0.004% SnO</w:t>
      </w:r>
      <w:r w:rsidRPr="00E9112D">
        <w:rPr>
          <w:rFonts w:ascii="Times New Roman" w:hAnsi="Times New Roman"/>
          <w:b/>
          <w:sz w:val="22"/>
          <w:szCs w:val="22"/>
          <w:vertAlign w:val="subscript"/>
        </w:rPr>
        <w:t xml:space="preserve">2 </w:t>
      </w:r>
      <w:r w:rsidRPr="00E9112D">
        <w:rPr>
          <w:rFonts w:ascii="Times New Roman" w:hAnsi="Times New Roman"/>
          <w:b/>
          <w:sz w:val="22"/>
          <w:szCs w:val="22"/>
        </w:rPr>
        <w:t>over 128.76 m</w:t>
      </w:r>
      <w:r w:rsidRPr="00E9112D">
        <w:rPr>
          <w:rFonts w:ascii="Times New Roman" w:hAnsi="Times New Roman"/>
          <w:sz w:val="22"/>
          <w:szCs w:val="22"/>
        </w:rPr>
        <w:t xml:space="preserve"> (MAC-07-006) and </w:t>
      </w:r>
      <w:r w:rsidRPr="00E9112D">
        <w:rPr>
          <w:rFonts w:ascii="Times New Roman" w:hAnsi="Times New Roman"/>
          <w:b/>
          <w:sz w:val="22"/>
          <w:szCs w:val="22"/>
        </w:rPr>
        <w:t>0.21% Li</w:t>
      </w:r>
      <w:r w:rsidRPr="00E9112D">
        <w:rPr>
          <w:rFonts w:ascii="Times New Roman" w:hAnsi="Times New Roman"/>
          <w:b/>
          <w:sz w:val="22"/>
          <w:szCs w:val="22"/>
          <w:vertAlign w:val="subscript"/>
        </w:rPr>
        <w:t>2</w:t>
      </w:r>
      <w:r w:rsidRPr="00E9112D">
        <w:rPr>
          <w:rFonts w:ascii="Times New Roman" w:hAnsi="Times New Roman"/>
          <w:b/>
          <w:sz w:val="22"/>
          <w:szCs w:val="22"/>
        </w:rPr>
        <w:t>O, 9 g/t Ta</w:t>
      </w:r>
      <w:r w:rsidRPr="00E9112D">
        <w:rPr>
          <w:rFonts w:ascii="Times New Roman" w:hAnsi="Times New Roman"/>
          <w:b/>
          <w:sz w:val="22"/>
          <w:szCs w:val="22"/>
          <w:vertAlign w:val="subscript"/>
        </w:rPr>
        <w:t>2</w:t>
      </w:r>
      <w:r w:rsidRPr="00E9112D">
        <w:rPr>
          <w:rFonts w:ascii="Times New Roman" w:hAnsi="Times New Roman"/>
          <w:b/>
          <w:sz w:val="22"/>
          <w:szCs w:val="22"/>
        </w:rPr>
        <w:t>O</w:t>
      </w:r>
      <w:r w:rsidRPr="00E9112D">
        <w:rPr>
          <w:rFonts w:ascii="Times New Roman" w:hAnsi="Times New Roman"/>
          <w:b/>
          <w:sz w:val="22"/>
          <w:szCs w:val="22"/>
          <w:vertAlign w:val="subscript"/>
        </w:rPr>
        <w:t>5</w:t>
      </w:r>
      <w:r w:rsidRPr="00E9112D">
        <w:rPr>
          <w:rFonts w:ascii="Times New Roman" w:hAnsi="Times New Roman"/>
          <w:b/>
          <w:sz w:val="22"/>
          <w:szCs w:val="22"/>
        </w:rPr>
        <w:t xml:space="preserve"> and 0.005% SnO</w:t>
      </w:r>
      <w:r w:rsidRPr="00E9112D">
        <w:rPr>
          <w:rFonts w:ascii="Times New Roman" w:hAnsi="Times New Roman"/>
          <w:b/>
          <w:sz w:val="22"/>
          <w:szCs w:val="22"/>
          <w:vertAlign w:val="subscript"/>
        </w:rPr>
        <w:t xml:space="preserve">2 </w:t>
      </w:r>
      <w:r w:rsidRPr="00E9112D">
        <w:rPr>
          <w:rFonts w:ascii="Times New Roman" w:hAnsi="Times New Roman"/>
          <w:b/>
          <w:sz w:val="22"/>
          <w:szCs w:val="22"/>
        </w:rPr>
        <w:t xml:space="preserve">over 78.25 m </w:t>
      </w:r>
      <w:r w:rsidRPr="00E9112D">
        <w:rPr>
          <w:rFonts w:ascii="Times New Roman" w:hAnsi="Times New Roman"/>
          <w:sz w:val="22"/>
          <w:szCs w:val="22"/>
        </w:rPr>
        <w:t>(MAC-07-007)</w:t>
      </w:r>
      <w:r w:rsidRPr="00E9112D">
        <w:rPr>
          <w:rFonts w:ascii="Times New Roman" w:hAnsi="Times New Roman"/>
          <w:b/>
          <w:sz w:val="22"/>
          <w:szCs w:val="22"/>
        </w:rPr>
        <w:t>.</w:t>
      </w:r>
      <w:r w:rsidRPr="00E9112D">
        <w:rPr>
          <w:rFonts w:ascii="Times New Roman" w:hAnsi="Times New Roman"/>
          <w:sz w:val="22"/>
          <w:szCs w:val="22"/>
        </w:rPr>
        <w:t xml:space="preserve">  Both channel samples and bulk intercepts include lithium-cesium-tantalum </w:t>
      </w:r>
      <w:proofErr w:type="spellStart"/>
      <w:r w:rsidRPr="00E9112D">
        <w:rPr>
          <w:rFonts w:ascii="Times New Roman" w:hAnsi="Times New Roman"/>
          <w:sz w:val="22"/>
          <w:szCs w:val="22"/>
        </w:rPr>
        <w:t>pegmatites</w:t>
      </w:r>
      <w:proofErr w:type="spellEnd"/>
      <w:r w:rsidRPr="00E9112D">
        <w:rPr>
          <w:rFonts w:ascii="Times New Roman" w:hAnsi="Times New Roman"/>
          <w:sz w:val="22"/>
          <w:szCs w:val="22"/>
        </w:rPr>
        <w:t xml:space="preserve"> and sedimentary </w:t>
      </w:r>
      <w:proofErr w:type="spellStart"/>
      <w:r w:rsidRPr="00E9112D">
        <w:rPr>
          <w:rFonts w:ascii="Times New Roman" w:hAnsi="Times New Roman"/>
          <w:sz w:val="22"/>
          <w:szCs w:val="22"/>
        </w:rPr>
        <w:t>wallrocks</w:t>
      </w:r>
      <w:proofErr w:type="spellEnd"/>
      <w:r w:rsidRPr="00E9112D">
        <w:rPr>
          <w:rFonts w:ascii="Times New Roman" w:hAnsi="Times New Roman"/>
          <w:sz w:val="22"/>
          <w:szCs w:val="22"/>
        </w:rPr>
        <w:t xml:space="preserve"> including quartz sandstone, limestone and shale, which do not contain significant amounts of any elements of interest.  </w:t>
      </w:r>
    </w:p>
    <w:p w:rsidR="004312B8" w:rsidRPr="00E9112D" w:rsidRDefault="004312B8" w:rsidP="004312B8">
      <w:pPr>
        <w:spacing w:before="120" w:after="0"/>
        <w:ind w:left="720" w:right="187"/>
        <w:jc w:val="both"/>
        <w:rPr>
          <w:rFonts w:ascii="Times New Roman" w:hAnsi="Times New Roman"/>
          <w:sz w:val="22"/>
          <w:szCs w:val="22"/>
        </w:rPr>
      </w:pPr>
      <w:r w:rsidRPr="00E9112D">
        <w:rPr>
          <w:rFonts w:ascii="Times New Roman" w:hAnsi="Times New Roman"/>
          <w:sz w:val="22"/>
          <w:szCs w:val="22"/>
        </w:rPr>
        <w:t xml:space="preserve">Lithium-cesium-tantalum pegmatite dyke swarms on the property have been traced over a combined length of 13 km in mountainous terrain that is deeply incised by several east- or west-facing cirques.  The vertical extent of these dykes has been traced for </w:t>
      </w:r>
      <w:r w:rsidR="004E5DA8" w:rsidRPr="00E9112D">
        <w:rPr>
          <w:rFonts w:ascii="Times New Roman" w:hAnsi="Times New Roman"/>
          <w:sz w:val="22"/>
          <w:szCs w:val="22"/>
        </w:rPr>
        <w:t>5</w:t>
      </w:r>
      <w:r w:rsidRPr="00E9112D">
        <w:rPr>
          <w:rFonts w:ascii="Times New Roman" w:hAnsi="Times New Roman"/>
          <w:sz w:val="22"/>
          <w:szCs w:val="22"/>
        </w:rPr>
        <w:t>00 m through natural exposure and diamond drilling along ridges.  The dykes are well exposed on the cirque walls and strike northerly, with near vertical dips.  Where sampled, each dyke swarm is up to 52.60 m wide and contains multiple dykes that range from 0.2 to 10 m in width.</w:t>
      </w:r>
    </w:p>
    <w:p w:rsidR="004312B8" w:rsidRDefault="004312B8" w:rsidP="00E9112D">
      <w:pPr>
        <w:spacing w:before="120" w:after="0"/>
        <w:ind w:left="720" w:right="187"/>
        <w:jc w:val="both"/>
        <w:rPr>
          <w:rFonts w:ascii="Times New Roman" w:hAnsi="Times New Roman"/>
          <w:sz w:val="22"/>
          <w:szCs w:val="22"/>
        </w:rPr>
      </w:pPr>
      <w:r w:rsidRPr="00E9112D">
        <w:rPr>
          <w:rFonts w:ascii="Times New Roman" w:hAnsi="Times New Roman"/>
          <w:sz w:val="22"/>
          <w:szCs w:val="22"/>
        </w:rPr>
        <w:t xml:space="preserve">Analytical work was done by ALS Minerals, with sample preparation and geochemical analyses in North Vancouver, British Columbia.  All rock samples were analyzed for 38 elements by lithium </w:t>
      </w:r>
      <w:proofErr w:type="spellStart"/>
      <w:r w:rsidRPr="00E9112D">
        <w:rPr>
          <w:rFonts w:ascii="Times New Roman" w:hAnsi="Times New Roman"/>
          <w:sz w:val="22"/>
          <w:szCs w:val="22"/>
        </w:rPr>
        <w:t>metaborate</w:t>
      </w:r>
      <w:proofErr w:type="spellEnd"/>
      <w:r w:rsidRPr="00E9112D">
        <w:rPr>
          <w:rFonts w:ascii="Times New Roman" w:hAnsi="Times New Roman"/>
          <w:sz w:val="22"/>
          <w:szCs w:val="22"/>
        </w:rPr>
        <w:t xml:space="preserve"> fusion and inductively coupled plasma-mass spectroscopy (ME-MS81).  All elements are reported as parts per million (ppm).  The conversion factor from tantalum (Ta) to tantalum </w:t>
      </w:r>
      <w:proofErr w:type="spellStart"/>
      <w:r w:rsidRPr="00E9112D">
        <w:rPr>
          <w:rFonts w:ascii="Times New Roman" w:hAnsi="Times New Roman"/>
          <w:sz w:val="22"/>
          <w:szCs w:val="22"/>
        </w:rPr>
        <w:t>pentoxide</w:t>
      </w:r>
      <w:proofErr w:type="spellEnd"/>
      <w:r w:rsidRPr="00E9112D">
        <w:rPr>
          <w:rFonts w:ascii="Times New Roman" w:hAnsi="Times New Roman"/>
          <w:sz w:val="22"/>
          <w:szCs w:val="22"/>
        </w:rPr>
        <w:t xml:space="preserve"> (Ta</w:t>
      </w:r>
      <w:r w:rsidRPr="00E9112D">
        <w:rPr>
          <w:rFonts w:ascii="Times New Roman" w:hAnsi="Times New Roman"/>
          <w:sz w:val="22"/>
          <w:szCs w:val="22"/>
          <w:vertAlign w:val="subscript"/>
        </w:rPr>
        <w:t>2</w:t>
      </w:r>
      <w:r w:rsidRPr="00E9112D">
        <w:rPr>
          <w:rFonts w:ascii="Times New Roman" w:hAnsi="Times New Roman"/>
          <w:sz w:val="22"/>
          <w:szCs w:val="22"/>
        </w:rPr>
        <w:t>O</w:t>
      </w:r>
      <w:r w:rsidRPr="00E9112D">
        <w:rPr>
          <w:rFonts w:ascii="Times New Roman" w:hAnsi="Times New Roman"/>
          <w:sz w:val="22"/>
          <w:szCs w:val="22"/>
          <w:vertAlign w:val="subscript"/>
        </w:rPr>
        <w:t>5</w:t>
      </w:r>
      <w:r w:rsidRPr="00E9112D">
        <w:rPr>
          <w:rFonts w:ascii="Times New Roman" w:hAnsi="Times New Roman"/>
          <w:sz w:val="22"/>
          <w:szCs w:val="22"/>
        </w:rPr>
        <w:t>) is 1.2211, while the conversion factor from tin (</w:t>
      </w:r>
      <w:proofErr w:type="spellStart"/>
      <w:r w:rsidRPr="00E9112D">
        <w:rPr>
          <w:rFonts w:ascii="Times New Roman" w:hAnsi="Times New Roman"/>
          <w:sz w:val="22"/>
          <w:szCs w:val="22"/>
        </w:rPr>
        <w:t>Sn</w:t>
      </w:r>
      <w:proofErr w:type="spellEnd"/>
      <w:r w:rsidRPr="00E9112D">
        <w:rPr>
          <w:rFonts w:ascii="Times New Roman" w:hAnsi="Times New Roman"/>
          <w:sz w:val="22"/>
          <w:szCs w:val="22"/>
        </w:rPr>
        <w:t>) to tin dioxide (SnO</w:t>
      </w:r>
      <w:r w:rsidRPr="00E9112D">
        <w:rPr>
          <w:rFonts w:ascii="Times New Roman" w:hAnsi="Times New Roman"/>
          <w:sz w:val="22"/>
          <w:szCs w:val="22"/>
          <w:vertAlign w:val="subscript"/>
        </w:rPr>
        <w:t>2</w:t>
      </w:r>
      <w:r w:rsidRPr="00E9112D">
        <w:rPr>
          <w:rFonts w:ascii="Times New Roman" w:hAnsi="Times New Roman"/>
          <w:sz w:val="22"/>
          <w:szCs w:val="22"/>
        </w:rPr>
        <w:t>) is 1.2696.  Because the tin values were reported in ppm, the values had to be divided by 10,000 to</w:t>
      </w:r>
      <w:r w:rsidR="00E9112D">
        <w:rPr>
          <w:rFonts w:ascii="Times New Roman" w:hAnsi="Times New Roman"/>
          <w:sz w:val="22"/>
          <w:szCs w:val="22"/>
        </w:rPr>
        <w:t xml:space="preserve"> give the tin value in percent.</w:t>
      </w:r>
    </w:p>
    <w:p w:rsidR="00E9112D" w:rsidRPr="00E9112D" w:rsidRDefault="00E9112D" w:rsidP="00E9112D">
      <w:pPr>
        <w:spacing w:before="120" w:after="0"/>
        <w:ind w:left="720" w:right="187"/>
        <w:jc w:val="both"/>
        <w:rPr>
          <w:rFonts w:ascii="Times New Roman" w:hAnsi="Times New Roman"/>
          <w:sz w:val="22"/>
          <w:szCs w:val="22"/>
        </w:rPr>
      </w:pPr>
    </w:p>
    <w:p w:rsidR="004312B8" w:rsidRPr="00E9112D" w:rsidRDefault="004312B8" w:rsidP="004312B8">
      <w:pPr>
        <w:ind w:left="720"/>
        <w:jc w:val="both"/>
        <w:rPr>
          <w:rFonts w:ascii="Times New Roman" w:hAnsi="Times New Roman"/>
          <w:sz w:val="22"/>
          <w:szCs w:val="22"/>
        </w:rPr>
      </w:pPr>
      <w:r w:rsidRPr="00E9112D">
        <w:rPr>
          <w:rFonts w:ascii="Times New Roman" w:hAnsi="Times New Roman"/>
          <w:sz w:val="22"/>
          <w:szCs w:val="22"/>
        </w:rPr>
        <w:t>Ore grade lithium analysis was done by sodium peroxide fusion digestion and inductively coupled plasma -atomic emission spectrometry finish (ME-ICP82b).  This technique reports in percent lithium and has a lower detection limit of 0.02% and an upper detection limit of 10%.  The conversion factor from lithium (Li) to lithium oxide (Li</w:t>
      </w:r>
      <w:r w:rsidRPr="00E9112D">
        <w:rPr>
          <w:rFonts w:ascii="Times New Roman" w:hAnsi="Times New Roman"/>
          <w:sz w:val="22"/>
          <w:szCs w:val="22"/>
          <w:vertAlign w:val="subscript"/>
        </w:rPr>
        <w:t>2</w:t>
      </w:r>
      <w:r w:rsidRPr="00E9112D">
        <w:rPr>
          <w:rFonts w:ascii="Times New Roman" w:hAnsi="Times New Roman"/>
          <w:sz w:val="22"/>
          <w:szCs w:val="22"/>
        </w:rPr>
        <w:t>O) is 2.153.</w:t>
      </w:r>
    </w:p>
    <w:p w:rsidR="004312B8" w:rsidRPr="00947766" w:rsidRDefault="004312B8" w:rsidP="00E9112D">
      <w:pPr>
        <w:ind w:left="720"/>
        <w:rPr>
          <w:rFonts w:ascii="Times New Roman" w:hAnsi="Times New Roman"/>
          <w:bCs/>
          <w:color w:val="000000"/>
          <w:sz w:val="22"/>
          <w:szCs w:val="22"/>
          <w:lang w:val="en-CA"/>
        </w:rPr>
      </w:pPr>
      <w:r w:rsidRPr="00E9112D">
        <w:rPr>
          <w:rFonts w:ascii="Times New Roman" w:hAnsi="Times New Roman"/>
          <w:sz w:val="22"/>
          <w:szCs w:val="22"/>
        </w:rPr>
        <w:t xml:space="preserve">The 2017 resampling program was conducted by Archer, </w:t>
      </w:r>
      <w:proofErr w:type="spellStart"/>
      <w:r w:rsidRPr="00E9112D">
        <w:rPr>
          <w:rFonts w:ascii="Times New Roman" w:hAnsi="Times New Roman"/>
          <w:sz w:val="22"/>
          <w:szCs w:val="22"/>
        </w:rPr>
        <w:t>Cathro</w:t>
      </w:r>
      <w:proofErr w:type="spellEnd"/>
      <w:r w:rsidRPr="00E9112D">
        <w:rPr>
          <w:rFonts w:ascii="Times New Roman" w:hAnsi="Times New Roman"/>
          <w:sz w:val="22"/>
          <w:szCs w:val="22"/>
        </w:rPr>
        <w:t xml:space="preserve"> &amp; Associates (1981) Limited (“Archer </w:t>
      </w:r>
      <w:proofErr w:type="spellStart"/>
      <w:r w:rsidRPr="00E9112D">
        <w:rPr>
          <w:rFonts w:ascii="Times New Roman" w:hAnsi="Times New Roman"/>
          <w:sz w:val="22"/>
          <w:szCs w:val="22"/>
        </w:rPr>
        <w:t>Cathro</w:t>
      </w:r>
      <w:proofErr w:type="spellEnd"/>
      <w:r w:rsidRPr="00E9112D">
        <w:rPr>
          <w:rFonts w:ascii="Times New Roman" w:hAnsi="Times New Roman"/>
          <w:sz w:val="22"/>
          <w:szCs w:val="22"/>
        </w:rPr>
        <w:t xml:space="preserve">”).  Technical information in this news release has been approved by Heather Burrell, P. Geo., a senior geologist with Archer </w:t>
      </w:r>
      <w:proofErr w:type="spellStart"/>
      <w:r w:rsidRPr="00E9112D">
        <w:rPr>
          <w:rFonts w:ascii="Times New Roman" w:hAnsi="Times New Roman"/>
          <w:sz w:val="22"/>
          <w:szCs w:val="22"/>
        </w:rPr>
        <w:t>Cathro</w:t>
      </w:r>
      <w:proofErr w:type="spellEnd"/>
      <w:r w:rsidRPr="00E9112D">
        <w:rPr>
          <w:rFonts w:ascii="Times New Roman" w:hAnsi="Times New Roman"/>
          <w:sz w:val="22"/>
          <w:szCs w:val="22"/>
        </w:rPr>
        <w:t xml:space="preserve"> and a qualified person for the purpose of National Instrument 43-101.</w:t>
      </w:r>
    </w:p>
    <w:p w:rsidR="00743626" w:rsidRPr="00947766" w:rsidRDefault="00743626">
      <w:pPr>
        <w:rPr>
          <w:rFonts w:ascii="Times New Roman" w:hAnsi="Times New Roman"/>
          <w:sz w:val="22"/>
          <w:szCs w:val="22"/>
        </w:rPr>
      </w:pPr>
    </w:p>
    <w:sectPr w:rsidR="00743626" w:rsidRPr="009477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38E4"/>
    <w:multiLevelType w:val="hybridMultilevel"/>
    <w:tmpl w:val="C95AF5B2"/>
    <w:lvl w:ilvl="0" w:tplc="23D890E2">
      <w:numFmt w:val="bullet"/>
      <w:lvlText w:val=""/>
      <w:lvlJc w:val="left"/>
      <w:pPr>
        <w:ind w:left="1080" w:hanging="360"/>
      </w:pPr>
      <w:rPr>
        <w:rFonts w:ascii="Symbol" w:eastAsia="Cambria" w:hAnsi="Symbol" w:cstheme="maj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74261FF9"/>
    <w:multiLevelType w:val="hybridMultilevel"/>
    <w:tmpl w:val="A47E2390"/>
    <w:lvl w:ilvl="0" w:tplc="10090001">
      <w:start w:val="1"/>
      <w:numFmt w:val="bullet"/>
      <w:lvlText w:val=""/>
      <w:lvlJc w:val="left"/>
      <w:pPr>
        <w:ind w:left="1714"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B8"/>
    <w:rsid w:val="00233125"/>
    <w:rsid w:val="00236FE1"/>
    <w:rsid w:val="004312B8"/>
    <w:rsid w:val="004E5DA8"/>
    <w:rsid w:val="00743626"/>
    <w:rsid w:val="00844E9F"/>
    <w:rsid w:val="00947766"/>
    <w:rsid w:val="00E9112D"/>
    <w:rsid w:val="00F43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B8"/>
    <w:pPr>
      <w:spacing w:line="240" w:lineRule="auto"/>
    </w:pPr>
    <w:rPr>
      <w:rFonts w:ascii="Cambria" w:eastAsia="Cambria" w:hAnsi="Cambri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2B8"/>
    <w:pPr>
      <w:spacing w:before="100" w:beforeAutospacing="1" w:after="100" w:afterAutospacing="1"/>
    </w:pPr>
    <w:rPr>
      <w:rFonts w:ascii="Times" w:hAnsi="Times"/>
      <w:sz w:val="20"/>
      <w:lang w:val="en-CA"/>
    </w:rPr>
  </w:style>
  <w:style w:type="paragraph" w:styleId="ListParagraph">
    <w:name w:val="List Paragraph"/>
    <w:basedOn w:val="Normal"/>
    <w:rsid w:val="004312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B8"/>
    <w:pPr>
      <w:spacing w:line="240" w:lineRule="auto"/>
    </w:pPr>
    <w:rPr>
      <w:rFonts w:ascii="Cambria" w:eastAsia="Cambria" w:hAnsi="Cambri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2B8"/>
    <w:pPr>
      <w:spacing w:before="100" w:beforeAutospacing="1" w:after="100" w:afterAutospacing="1"/>
    </w:pPr>
    <w:rPr>
      <w:rFonts w:ascii="Times" w:hAnsi="Times"/>
      <w:sz w:val="20"/>
      <w:lang w:val="en-CA"/>
    </w:rPr>
  </w:style>
  <w:style w:type="paragraph" w:styleId="ListParagraph">
    <w:name w:val="List Paragraph"/>
    <w:basedOn w:val="Normal"/>
    <w:rsid w:val="00431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Burrell</dc:creator>
  <cp:lastModifiedBy>Heather Burrell</cp:lastModifiedBy>
  <cp:revision>5</cp:revision>
  <dcterms:created xsi:type="dcterms:W3CDTF">2017-11-16T18:48:00Z</dcterms:created>
  <dcterms:modified xsi:type="dcterms:W3CDTF">2017-11-16T19:28:00Z</dcterms:modified>
</cp:coreProperties>
</file>